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575" w:rsidRPr="00506575" w:rsidRDefault="00506575" w:rsidP="00506575">
      <w:pPr>
        <w:shd w:val="clear" w:color="auto" w:fill="FFFFFF"/>
        <w:spacing w:before="100" w:beforeAutospacing="1" w:after="120" w:line="240" w:lineRule="auto"/>
        <w:outlineLvl w:val="0"/>
        <w:rPr>
          <w:rFonts w:ascii="ufshands" w:eastAsia="Times New Roman" w:hAnsi="ufshands" w:cs="Arial"/>
          <w:color w:val="243778"/>
          <w:kern w:val="36"/>
          <w:sz w:val="48"/>
          <w:szCs w:val="48"/>
          <w:lang w:val="en"/>
        </w:rPr>
      </w:pPr>
      <w:r w:rsidRPr="00506575">
        <w:rPr>
          <w:rFonts w:ascii="ufshands" w:eastAsia="Times New Roman" w:hAnsi="ufshands" w:cs="Arial"/>
          <w:color w:val="243778"/>
          <w:kern w:val="36"/>
          <w:sz w:val="48"/>
          <w:szCs w:val="48"/>
          <w:lang w:val="en"/>
        </w:rPr>
        <w:t>Unallowable Expenses</w:t>
      </w:r>
    </w:p>
    <w:p w:rsidR="00506575" w:rsidRPr="00506575" w:rsidRDefault="00506575" w:rsidP="00506575">
      <w:pPr>
        <w:shd w:val="clear" w:color="auto" w:fill="FFFFFF"/>
        <w:spacing w:before="100" w:beforeAutospacing="1" w:after="120" w:line="240" w:lineRule="auto"/>
        <w:outlineLvl w:val="2"/>
        <w:rPr>
          <w:rFonts w:ascii="ufshands" w:eastAsia="Times New Roman" w:hAnsi="ufshands" w:cs="Arial"/>
          <w:color w:val="243778"/>
          <w:sz w:val="28"/>
          <w:szCs w:val="28"/>
          <w:lang w:val="en"/>
        </w:rPr>
      </w:pPr>
      <w:r w:rsidRPr="00506575">
        <w:rPr>
          <w:rFonts w:ascii="ufshands" w:eastAsia="Times New Roman" w:hAnsi="ufshands" w:cs="Arial"/>
          <w:color w:val="243778"/>
          <w:sz w:val="28"/>
          <w:szCs w:val="28"/>
          <w:lang w:val="en"/>
        </w:rPr>
        <w:t>Purpose of Guidelines</w:t>
      </w:r>
    </w:p>
    <w:p w:rsidR="00506575" w:rsidRPr="00506575" w:rsidRDefault="00506575" w:rsidP="00506575">
      <w:pPr>
        <w:shd w:val="clear" w:color="auto" w:fill="FFFFFF"/>
        <w:spacing w:after="288" w:line="336" w:lineRule="atLeast"/>
        <w:rPr>
          <w:rFonts w:ascii="Arial" w:eastAsia="Times New Roman" w:hAnsi="Arial" w:cs="Arial"/>
          <w:color w:val="444444"/>
          <w:sz w:val="20"/>
          <w:szCs w:val="20"/>
          <w:lang w:val="en"/>
        </w:rPr>
      </w:pPr>
      <w:r w:rsidRPr="00506575">
        <w:rPr>
          <w:rFonts w:ascii="Arial" w:eastAsia="Times New Roman" w:hAnsi="Arial" w:cs="Arial"/>
          <w:color w:val="444444"/>
          <w:sz w:val="20"/>
          <w:szCs w:val="20"/>
          <w:lang w:val="en"/>
        </w:rPr>
        <w:t>The purpose of these guidelines is to provide information about the identifying and allocating unallowable costs as defined in Uniform Guidance 2 CFR 200.</w:t>
      </w:r>
    </w:p>
    <w:p w:rsidR="00506575" w:rsidRPr="00506575" w:rsidRDefault="00506575" w:rsidP="00506575">
      <w:pPr>
        <w:shd w:val="clear" w:color="auto" w:fill="FFFFFF"/>
        <w:spacing w:before="100" w:beforeAutospacing="1" w:after="120" w:line="240" w:lineRule="auto"/>
        <w:outlineLvl w:val="2"/>
        <w:rPr>
          <w:rFonts w:ascii="ufshands" w:eastAsia="Times New Roman" w:hAnsi="ufshands" w:cs="Arial"/>
          <w:color w:val="243778"/>
          <w:sz w:val="28"/>
          <w:szCs w:val="28"/>
          <w:lang w:val="en"/>
        </w:rPr>
      </w:pPr>
      <w:r w:rsidRPr="00506575">
        <w:rPr>
          <w:rFonts w:ascii="ufshands" w:eastAsia="Times New Roman" w:hAnsi="ufshands" w:cs="Arial"/>
          <w:color w:val="243778"/>
          <w:sz w:val="28"/>
          <w:szCs w:val="28"/>
          <w:lang w:val="en"/>
        </w:rPr>
        <w:t>Background</w:t>
      </w:r>
    </w:p>
    <w:p w:rsidR="00506575" w:rsidRPr="00506575" w:rsidRDefault="00506575" w:rsidP="00506575">
      <w:pPr>
        <w:shd w:val="clear" w:color="auto" w:fill="FFFFFF"/>
        <w:spacing w:after="288" w:line="336" w:lineRule="atLeast"/>
        <w:rPr>
          <w:rFonts w:ascii="Arial" w:eastAsia="Times New Roman" w:hAnsi="Arial" w:cs="Arial"/>
          <w:color w:val="444444"/>
          <w:sz w:val="20"/>
          <w:szCs w:val="20"/>
          <w:lang w:val="en"/>
        </w:rPr>
      </w:pPr>
      <w:r w:rsidRPr="00506575">
        <w:rPr>
          <w:rFonts w:ascii="Arial" w:eastAsia="Times New Roman" w:hAnsi="Arial" w:cs="Arial"/>
          <w:color w:val="444444"/>
          <w:sz w:val="20"/>
          <w:szCs w:val="20"/>
          <w:lang w:val="en"/>
        </w:rPr>
        <w:t>Uniform Guidance 2 CFR 200 establishes principles for determining costs applicable to grants, contracts and other agreements with Institutions of Higher Education (IHE). In ord</w:t>
      </w:r>
      <w:r>
        <w:rPr>
          <w:rFonts w:ascii="Arial" w:eastAsia="Times New Roman" w:hAnsi="Arial" w:cs="Arial"/>
          <w:color w:val="444444"/>
          <w:sz w:val="20"/>
          <w:szCs w:val="20"/>
          <w:lang w:val="en"/>
        </w:rPr>
        <w:t>er for the University of Arkansas at Pine Bluff</w:t>
      </w:r>
      <w:r w:rsidRPr="00506575">
        <w:rPr>
          <w:rFonts w:ascii="Arial" w:eastAsia="Times New Roman" w:hAnsi="Arial" w:cs="Arial"/>
          <w:color w:val="444444"/>
          <w:sz w:val="20"/>
          <w:szCs w:val="20"/>
          <w:lang w:val="en"/>
        </w:rPr>
        <w:t xml:space="preserve"> to meet federal requirements it is necessary to identify and correctly allocate unallowable expenses as defined in Uniform Guidance 2 CFR 200. All departmental expenditures, both direct and indirect costs, are a part of the indirect cost rate calculations, therefore it is important that all department staff and PIs, as well a</w:t>
      </w:r>
      <w:r>
        <w:rPr>
          <w:rFonts w:ascii="Arial" w:eastAsia="Times New Roman" w:hAnsi="Arial" w:cs="Arial"/>
          <w:color w:val="444444"/>
          <w:sz w:val="20"/>
          <w:szCs w:val="20"/>
          <w:lang w:val="en"/>
        </w:rPr>
        <w:t>s the offices of Finance and Administration and the Office of Research and Sponsored Program</w:t>
      </w:r>
      <w:r w:rsidRPr="00506575">
        <w:rPr>
          <w:rFonts w:ascii="Arial" w:eastAsia="Times New Roman" w:hAnsi="Arial" w:cs="Arial"/>
          <w:color w:val="444444"/>
          <w:sz w:val="20"/>
          <w:szCs w:val="20"/>
          <w:lang w:val="en"/>
        </w:rPr>
        <w:t>, understand and consistently follow the stated guidelines.</w:t>
      </w:r>
    </w:p>
    <w:p w:rsidR="00506575" w:rsidRPr="00506575" w:rsidRDefault="00506575" w:rsidP="00506575">
      <w:pPr>
        <w:shd w:val="clear" w:color="auto" w:fill="FFFFFF"/>
        <w:spacing w:after="288" w:line="336" w:lineRule="atLeast"/>
        <w:rPr>
          <w:rFonts w:ascii="Arial" w:eastAsia="Times New Roman" w:hAnsi="Arial" w:cs="Arial"/>
          <w:color w:val="444444"/>
          <w:sz w:val="20"/>
          <w:szCs w:val="20"/>
          <w:lang w:val="en"/>
        </w:rPr>
      </w:pPr>
      <w:r w:rsidRPr="00506575">
        <w:rPr>
          <w:rFonts w:ascii="Arial" w:eastAsia="Times New Roman" w:hAnsi="Arial" w:cs="Arial"/>
          <w:color w:val="444444"/>
          <w:sz w:val="20"/>
          <w:szCs w:val="20"/>
          <w:lang w:val="en"/>
        </w:rPr>
        <w:t>According to Uniform Guidance 2 CFR 200, (200.403) “Except where otherwise authorized by statute, costs must meet the following general criteria in order to be allowable under Federal awards:</w:t>
      </w:r>
    </w:p>
    <w:p w:rsidR="00506575" w:rsidRPr="00506575" w:rsidRDefault="00506575" w:rsidP="00506575">
      <w:pPr>
        <w:pStyle w:val="ListParagraph"/>
        <w:numPr>
          <w:ilvl w:val="0"/>
          <w:numId w:val="8"/>
        </w:numPr>
        <w:shd w:val="clear" w:color="auto" w:fill="FFFFFF"/>
        <w:spacing w:before="100" w:beforeAutospacing="1" w:after="100" w:afterAutospacing="1" w:line="240" w:lineRule="auto"/>
        <w:ind w:right="360"/>
        <w:rPr>
          <w:rFonts w:ascii="Arial" w:eastAsia="Times New Roman" w:hAnsi="Arial" w:cs="Arial"/>
          <w:color w:val="444444"/>
          <w:sz w:val="20"/>
          <w:szCs w:val="20"/>
          <w:lang w:val="en"/>
        </w:rPr>
      </w:pPr>
      <w:r w:rsidRPr="00506575">
        <w:rPr>
          <w:rFonts w:ascii="Arial" w:eastAsia="Times New Roman" w:hAnsi="Arial" w:cs="Arial"/>
          <w:color w:val="444444"/>
          <w:sz w:val="20"/>
          <w:szCs w:val="20"/>
          <w:lang w:val="en"/>
        </w:rPr>
        <w:t>Be necessary and reasonable for the performance of the Federal award and be allocable thereto under these principles.</w:t>
      </w:r>
    </w:p>
    <w:p w:rsidR="00506575" w:rsidRPr="00506575" w:rsidRDefault="00506575" w:rsidP="00506575">
      <w:pPr>
        <w:pStyle w:val="ListParagraph"/>
        <w:numPr>
          <w:ilvl w:val="0"/>
          <w:numId w:val="8"/>
        </w:numPr>
        <w:shd w:val="clear" w:color="auto" w:fill="FFFFFF"/>
        <w:spacing w:before="100" w:beforeAutospacing="1" w:after="100" w:afterAutospacing="1" w:line="240" w:lineRule="auto"/>
        <w:ind w:right="360"/>
        <w:rPr>
          <w:rFonts w:ascii="Arial" w:eastAsia="Times New Roman" w:hAnsi="Arial" w:cs="Arial"/>
          <w:color w:val="444444"/>
          <w:sz w:val="20"/>
          <w:szCs w:val="20"/>
          <w:lang w:val="en"/>
        </w:rPr>
      </w:pPr>
      <w:r w:rsidRPr="00506575">
        <w:rPr>
          <w:rFonts w:ascii="Arial" w:eastAsia="Times New Roman" w:hAnsi="Arial" w:cs="Arial"/>
          <w:color w:val="444444"/>
          <w:sz w:val="20"/>
          <w:szCs w:val="20"/>
          <w:lang w:val="en"/>
        </w:rPr>
        <w:t>Conform to any limitations or exclusions set forth in these principles or in the Federal award as to types or amounts of costs</w:t>
      </w:r>
    </w:p>
    <w:p w:rsidR="00506575" w:rsidRPr="00506575" w:rsidRDefault="00506575" w:rsidP="00506575">
      <w:pPr>
        <w:pStyle w:val="ListParagraph"/>
        <w:numPr>
          <w:ilvl w:val="0"/>
          <w:numId w:val="8"/>
        </w:numPr>
        <w:shd w:val="clear" w:color="auto" w:fill="FFFFFF"/>
        <w:spacing w:before="100" w:beforeAutospacing="1" w:after="100" w:afterAutospacing="1" w:line="240" w:lineRule="auto"/>
        <w:ind w:right="360"/>
        <w:rPr>
          <w:rFonts w:ascii="Arial" w:eastAsia="Times New Roman" w:hAnsi="Arial" w:cs="Arial"/>
          <w:color w:val="444444"/>
          <w:sz w:val="20"/>
          <w:szCs w:val="20"/>
          <w:lang w:val="en"/>
        </w:rPr>
      </w:pPr>
      <w:r w:rsidRPr="00506575">
        <w:rPr>
          <w:rFonts w:ascii="Arial" w:eastAsia="Times New Roman" w:hAnsi="Arial" w:cs="Arial"/>
          <w:color w:val="444444"/>
          <w:sz w:val="20"/>
          <w:szCs w:val="20"/>
          <w:lang w:val="en"/>
        </w:rPr>
        <w:t>Be consistent with policies and procedures that apply uniformly to both federally-financed and other activities of the non-Federal entity.</w:t>
      </w:r>
    </w:p>
    <w:p w:rsidR="00506575" w:rsidRPr="00506575" w:rsidRDefault="00506575" w:rsidP="00506575">
      <w:pPr>
        <w:pStyle w:val="ListParagraph"/>
        <w:numPr>
          <w:ilvl w:val="0"/>
          <w:numId w:val="8"/>
        </w:numPr>
        <w:shd w:val="clear" w:color="auto" w:fill="FFFFFF"/>
        <w:spacing w:before="100" w:beforeAutospacing="1" w:after="100" w:afterAutospacing="1" w:line="240" w:lineRule="auto"/>
        <w:ind w:right="360"/>
        <w:rPr>
          <w:rFonts w:ascii="Arial" w:eastAsia="Times New Roman" w:hAnsi="Arial" w:cs="Arial"/>
          <w:color w:val="444444"/>
          <w:sz w:val="20"/>
          <w:szCs w:val="20"/>
          <w:lang w:val="en"/>
        </w:rPr>
      </w:pPr>
      <w:r w:rsidRPr="00506575">
        <w:rPr>
          <w:rFonts w:ascii="Arial" w:eastAsia="Times New Roman" w:hAnsi="Arial" w:cs="Arial"/>
          <w:color w:val="444444"/>
          <w:sz w:val="20"/>
          <w:szCs w:val="20"/>
          <w:lang w:val="en"/>
        </w:rPr>
        <w:t>Be accorded consistent treatment. A cost may not be assigned to a Federal award as a direct cost if any other cost incurred for the same purpose in like circumstances has been allocated to the Federal award as an indirect cost.</w:t>
      </w:r>
    </w:p>
    <w:p w:rsidR="00506575" w:rsidRPr="00506575" w:rsidRDefault="00506575" w:rsidP="00506575">
      <w:pPr>
        <w:pStyle w:val="ListParagraph"/>
        <w:numPr>
          <w:ilvl w:val="0"/>
          <w:numId w:val="8"/>
        </w:numPr>
        <w:shd w:val="clear" w:color="auto" w:fill="FFFFFF"/>
        <w:spacing w:before="100" w:beforeAutospacing="1" w:after="100" w:afterAutospacing="1" w:line="240" w:lineRule="auto"/>
        <w:ind w:right="360"/>
        <w:rPr>
          <w:rFonts w:ascii="Arial" w:eastAsia="Times New Roman" w:hAnsi="Arial" w:cs="Arial"/>
          <w:color w:val="444444"/>
          <w:sz w:val="20"/>
          <w:szCs w:val="20"/>
          <w:lang w:val="en"/>
        </w:rPr>
      </w:pPr>
      <w:r w:rsidRPr="00506575">
        <w:rPr>
          <w:rFonts w:ascii="Arial" w:eastAsia="Times New Roman" w:hAnsi="Arial" w:cs="Arial"/>
          <w:color w:val="444444"/>
          <w:sz w:val="20"/>
          <w:szCs w:val="20"/>
          <w:lang w:val="en"/>
        </w:rPr>
        <w:t>Be determined in accordance with generally accepted accounting principles (GAAP)</w:t>
      </w:r>
    </w:p>
    <w:p w:rsidR="00506575" w:rsidRPr="00506575" w:rsidRDefault="00506575" w:rsidP="00506575">
      <w:pPr>
        <w:pStyle w:val="ListParagraph"/>
        <w:numPr>
          <w:ilvl w:val="0"/>
          <w:numId w:val="8"/>
        </w:numPr>
        <w:shd w:val="clear" w:color="auto" w:fill="FFFFFF"/>
        <w:spacing w:before="100" w:beforeAutospacing="1" w:after="100" w:afterAutospacing="1" w:line="240" w:lineRule="auto"/>
        <w:ind w:right="360"/>
        <w:rPr>
          <w:rFonts w:ascii="Arial" w:eastAsia="Times New Roman" w:hAnsi="Arial" w:cs="Arial"/>
          <w:color w:val="444444"/>
          <w:sz w:val="20"/>
          <w:szCs w:val="20"/>
          <w:lang w:val="en"/>
        </w:rPr>
      </w:pPr>
      <w:r w:rsidRPr="00506575">
        <w:rPr>
          <w:rFonts w:ascii="Arial" w:eastAsia="Times New Roman" w:hAnsi="Arial" w:cs="Arial"/>
          <w:color w:val="444444"/>
          <w:sz w:val="20"/>
          <w:szCs w:val="20"/>
          <w:lang w:val="en"/>
        </w:rPr>
        <w:t>Not be included as a cost or used to meet cost sharing or matching requirements of any other federally-financed program in either the current or prior period.</w:t>
      </w:r>
    </w:p>
    <w:p w:rsidR="00506575" w:rsidRPr="00506575" w:rsidRDefault="00506575" w:rsidP="00506575">
      <w:pPr>
        <w:pStyle w:val="ListParagraph"/>
        <w:numPr>
          <w:ilvl w:val="0"/>
          <w:numId w:val="8"/>
        </w:numPr>
        <w:shd w:val="clear" w:color="auto" w:fill="FFFFFF"/>
        <w:spacing w:before="100" w:beforeAutospacing="1" w:after="100" w:afterAutospacing="1" w:line="240" w:lineRule="auto"/>
        <w:ind w:right="360"/>
        <w:rPr>
          <w:rFonts w:ascii="Arial" w:eastAsia="Times New Roman" w:hAnsi="Arial" w:cs="Arial"/>
          <w:color w:val="444444"/>
          <w:sz w:val="20"/>
          <w:szCs w:val="20"/>
          <w:lang w:val="en"/>
        </w:rPr>
      </w:pPr>
      <w:r w:rsidRPr="00506575">
        <w:rPr>
          <w:rFonts w:ascii="Arial" w:eastAsia="Times New Roman" w:hAnsi="Arial" w:cs="Arial"/>
          <w:color w:val="444444"/>
          <w:sz w:val="20"/>
          <w:szCs w:val="20"/>
          <w:lang w:val="en"/>
        </w:rPr>
        <w:t>Be adequately documented</w:t>
      </w:r>
    </w:p>
    <w:p w:rsidR="00506575" w:rsidRPr="00506575" w:rsidRDefault="00506575" w:rsidP="00506575">
      <w:pPr>
        <w:shd w:val="clear" w:color="auto" w:fill="FFFFFF"/>
        <w:spacing w:after="288" w:line="336" w:lineRule="atLeast"/>
        <w:rPr>
          <w:rFonts w:ascii="Arial" w:eastAsia="Times New Roman" w:hAnsi="Arial" w:cs="Arial"/>
          <w:color w:val="444444"/>
          <w:sz w:val="20"/>
          <w:szCs w:val="20"/>
          <w:lang w:val="en"/>
        </w:rPr>
      </w:pPr>
      <w:r w:rsidRPr="00506575">
        <w:rPr>
          <w:rFonts w:ascii="Arial" w:eastAsia="Times New Roman" w:hAnsi="Arial" w:cs="Arial"/>
          <w:color w:val="444444"/>
          <w:sz w:val="20"/>
          <w:szCs w:val="20"/>
          <w:lang w:val="en"/>
        </w:rPr>
        <w:t>In other words, we can only record expenses if they are:</w:t>
      </w:r>
    </w:p>
    <w:p w:rsidR="00506575" w:rsidRPr="00506575" w:rsidRDefault="00506575" w:rsidP="00506575">
      <w:pPr>
        <w:pStyle w:val="ListParagraph"/>
        <w:numPr>
          <w:ilvl w:val="0"/>
          <w:numId w:val="9"/>
        </w:numPr>
        <w:shd w:val="clear" w:color="auto" w:fill="FFFFFF"/>
        <w:spacing w:before="100" w:beforeAutospacing="1" w:after="100" w:afterAutospacing="1" w:line="240" w:lineRule="auto"/>
        <w:ind w:right="360"/>
        <w:rPr>
          <w:rFonts w:ascii="Arial" w:eastAsia="Times New Roman" w:hAnsi="Arial" w:cs="Arial"/>
          <w:color w:val="444444"/>
          <w:sz w:val="20"/>
          <w:szCs w:val="20"/>
          <w:lang w:val="en"/>
        </w:rPr>
      </w:pPr>
      <w:r w:rsidRPr="00506575">
        <w:rPr>
          <w:rFonts w:ascii="Arial" w:eastAsia="Times New Roman" w:hAnsi="Arial" w:cs="Arial"/>
          <w:color w:val="444444"/>
          <w:sz w:val="20"/>
          <w:szCs w:val="20"/>
          <w:lang w:val="en"/>
        </w:rPr>
        <w:t>Reasonable – A prudent person would have purchased the item and paid that price.</w:t>
      </w:r>
    </w:p>
    <w:p w:rsidR="00506575" w:rsidRPr="00506575" w:rsidRDefault="00506575" w:rsidP="00506575">
      <w:pPr>
        <w:pStyle w:val="ListParagraph"/>
        <w:numPr>
          <w:ilvl w:val="0"/>
          <w:numId w:val="9"/>
        </w:numPr>
        <w:shd w:val="clear" w:color="auto" w:fill="FFFFFF"/>
        <w:spacing w:before="100" w:beforeAutospacing="1" w:after="100" w:afterAutospacing="1" w:line="240" w:lineRule="auto"/>
        <w:ind w:right="360"/>
        <w:rPr>
          <w:rFonts w:ascii="Arial" w:eastAsia="Times New Roman" w:hAnsi="Arial" w:cs="Arial"/>
          <w:color w:val="444444"/>
          <w:sz w:val="20"/>
          <w:szCs w:val="20"/>
          <w:lang w:val="en"/>
        </w:rPr>
      </w:pPr>
      <w:r w:rsidRPr="00506575">
        <w:rPr>
          <w:rFonts w:ascii="Arial" w:eastAsia="Times New Roman" w:hAnsi="Arial" w:cs="Arial"/>
          <w:color w:val="444444"/>
          <w:sz w:val="20"/>
          <w:szCs w:val="20"/>
          <w:lang w:val="en"/>
        </w:rPr>
        <w:t>Allocable – Expenses are at least partially applicable to a sponsored agreement.</w:t>
      </w:r>
    </w:p>
    <w:p w:rsidR="00506575" w:rsidRPr="00506575" w:rsidRDefault="00506575" w:rsidP="00506575">
      <w:pPr>
        <w:pStyle w:val="ListParagraph"/>
        <w:numPr>
          <w:ilvl w:val="0"/>
          <w:numId w:val="9"/>
        </w:numPr>
        <w:shd w:val="clear" w:color="auto" w:fill="FFFFFF"/>
        <w:spacing w:before="100" w:beforeAutospacing="1" w:after="100" w:afterAutospacing="1" w:line="240" w:lineRule="auto"/>
        <w:ind w:right="360"/>
        <w:rPr>
          <w:rFonts w:ascii="Arial" w:eastAsia="Times New Roman" w:hAnsi="Arial" w:cs="Arial"/>
          <w:color w:val="444444"/>
          <w:sz w:val="20"/>
          <w:szCs w:val="20"/>
          <w:lang w:val="en"/>
        </w:rPr>
      </w:pPr>
      <w:r w:rsidRPr="00506575">
        <w:rPr>
          <w:rFonts w:ascii="Arial" w:eastAsia="Times New Roman" w:hAnsi="Arial" w:cs="Arial"/>
          <w:color w:val="444444"/>
          <w:sz w:val="20"/>
          <w:szCs w:val="20"/>
          <w:lang w:val="en"/>
        </w:rPr>
        <w:t>Consistently Treated – Expenses for similar purposes must be treated the same way (throughout the university) under like circumstances.</w:t>
      </w:r>
    </w:p>
    <w:p w:rsidR="00506575" w:rsidRPr="00506575" w:rsidRDefault="00506575" w:rsidP="00506575">
      <w:pPr>
        <w:pStyle w:val="ListParagraph"/>
        <w:numPr>
          <w:ilvl w:val="0"/>
          <w:numId w:val="9"/>
        </w:numPr>
        <w:shd w:val="clear" w:color="auto" w:fill="FFFFFF"/>
        <w:spacing w:before="100" w:beforeAutospacing="1" w:after="100" w:afterAutospacing="1" w:line="240" w:lineRule="auto"/>
        <w:ind w:right="360"/>
        <w:rPr>
          <w:rFonts w:ascii="Arial" w:eastAsia="Times New Roman" w:hAnsi="Arial" w:cs="Arial"/>
          <w:color w:val="444444"/>
          <w:sz w:val="20"/>
          <w:szCs w:val="20"/>
          <w:lang w:val="en"/>
        </w:rPr>
      </w:pPr>
      <w:r w:rsidRPr="00506575">
        <w:rPr>
          <w:rFonts w:ascii="Arial" w:eastAsia="Times New Roman" w:hAnsi="Arial" w:cs="Arial"/>
          <w:color w:val="444444"/>
          <w:sz w:val="20"/>
          <w:szCs w:val="20"/>
          <w:lang w:val="en"/>
        </w:rPr>
        <w:t>Allowable – The expense must be allowable or not specifically excluded as specified by government regulations (examples of specifically excluded costs are discussed later) or by the contract/grant/cooperative agreement requirements.</w:t>
      </w:r>
    </w:p>
    <w:p w:rsidR="00506575" w:rsidRPr="00506575" w:rsidRDefault="00506575" w:rsidP="00506575">
      <w:pPr>
        <w:shd w:val="clear" w:color="auto" w:fill="FFFFFF"/>
        <w:spacing w:after="288" w:line="336" w:lineRule="atLeast"/>
        <w:rPr>
          <w:rFonts w:ascii="Arial" w:eastAsia="Times New Roman" w:hAnsi="Arial" w:cs="Arial"/>
          <w:color w:val="444444"/>
          <w:sz w:val="20"/>
          <w:szCs w:val="20"/>
          <w:lang w:val="en"/>
        </w:rPr>
      </w:pPr>
      <w:r w:rsidRPr="00506575">
        <w:rPr>
          <w:rFonts w:ascii="Arial" w:eastAsia="Times New Roman" w:hAnsi="Arial" w:cs="Arial"/>
          <w:color w:val="444444"/>
          <w:sz w:val="20"/>
          <w:szCs w:val="20"/>
          <w:lang w:val="en"/>
        </w:rPr>
        <w:t>If an expense cannot meet the above criteria, it is NOT eligible for inclusio</w:t>
      </w:r>
      <w:r>
        <w:rPr>
          <w:rFonts w:ascii="Arial" w:eastAsia="Times New Roman" w:hAnsi="Arial" w:cs="Arial"/>
          <w:color w:val="444444"/>
          <w:sz w:val="20"/>
          <w:szCs w:val="20"/>
          <w:lang w:val="en"/>
        </w:rPr>
        <w:t>n as an allowable expense</w:t>
      </w:r>
      <w:r w:rsidRPr="00506575">
        <w:rPr>
          <w:rFonts w:ascii="Arial" w:eastAsia="Times New Roman" w:hAnsi="Arial" w:cs="Arial"/>
          <w:color w:val="444444"/>
          <w:sz w:val="20"/>
          <w:szCs w:val="20"/>
          <w:lang w:val="en"/>
        </w:rPr>
        <w:t>.</w:t>
      </w:r>
    </w:p>
    <w:p w:rsidR="00506575" w:rsidRPr="00506575" w:rsidRDefault="00506575" w:rsidP="00506575">
      <w:pPr>
        <w:shd w:val="clear" w:color="auto" w:fill="FFFFFF"/>
        <w:spacing w:after="288" w:line="336" w:lineRule="atLeast"/>
        <w:rPr>
          <w:rFonts w:ascii="Arial" w:eastAsia="Times New Roman" w:hAnsi="Arial" w:cs="Arial"/>
          <w:color w:val="444444"/>
          <w:sz w:val="20"/>
          <w:szCs w:val="20"/>
          <w:lang w:val="en"/>
        </w:rPr>
      </w:pPr>
      <w:r w:rsidRPr="00506575">
        <w:rPr>
          <w:rFonts w:ascii="Arial" w:eastAsia="Times New Roman" w:hAnsi="Arial" w:cs="Arial"/>
          <w:color w:val="444444"/>
          <w:sz w:val="20"/>
          <w:szCs w:val="20"/>
          <w:lang w:val="en"/>
        </w:rPr>
        <w:lastRenderedPageBreak/>
        <w:t xml:space="preserve">The federal government will not reimburse these costs, however, they may be entirely appropriate and permissible activities. Guidance is given in this document as to classification of costs if unallowable. If there are any questions, </w:t>
      </w:r>
      <w:r w:rsidR="00032FD9">
        <w:rPr>
          <w:rFonts w:ascii="Arial" w:eastAsia="Times New Roman" w:hAnsi="Arial" w:cs="Arial"/>
          <w:color w:val="444444"/>
          <w:sz w:val="20"/>
          <w:szCs w:val="20"/>
          <w:lang w:val="en"/>
        </w:rPr>
        <w:t>please call Grant Accounting at 575-8645</w:t>
      </w:r>
      <w:r w:rsidRPr="00506575">
        <w:rPr>
          <w:rFonts w:ascii="Arial" w:eastAsia="Times New Roman" w:hAnsi="Arial" w:cs="Arial"/>
          <w:color w:val="444444"/>
          <w:sz w:val="20"/>
          <w:szCs w:val="20"/>
          <w:lang w:val="en"/>
        </w:rPr>
        <w:t xml:space="preserve"> for assistance.</w:t>
      </w:r>
    </w:p>
    <w:p w:rsidR="00506575" w:rsidRPr="00506575" w:rsidRDefault="00506575" w:rsidP="00506575">
      <w:pPr>
        <w:shd w:val="clear" w:color="auto" w:fill="FFFFFF"/>
        <w:spacing w:before="100" w:beforeAutospacing="1" w:after="120" w:line="240" w:lineRule="auto"/>
        <w:outlineLvl w:val="2"/>
        <w:rPr>
          <w:rFonts w:ascii="ufshands" w:eastAsia="Times New Roman" w:hAnsi="ufshands" w:cs="Arial"/>
          <w:color w:val="243778"/>
          <w:sz w:val="28"/>
          <w:szCs w:val="28"/>
          <w:lang w:val="en"/>
        </w:rPr>
      </w:pPr>
      <w:r w:rsidRPr="00506575">
        <w:rPr>
          <w:rFonts w:ascii="ufshands" w:eastAsia="Times New Roman" w:hAnsi="ufshands" w:cs="Arial"/>
          <w:color w:val="243778"/>
          <w:sz w:val="28"/>
          <w:szCs w:val="28"/>
          <w:lang w:val="en"/>
        </w:rPr>
        <w:t>Definitions</w:t>
      </w:r>
    </w:p>
    <w:p w:rsidR="00506575" w:rsidRPr="00506575" w:rsidRDefault="00506575" w:rsidP="00506575">
      <w:pPr>
        <w:shd w:val="clear" w:color="auto" w:fill="FFFFFF"/>
        <w:spacing w:after="288" w:line="336" w:lineRule="atLeast"/>
        <w:rPr>
          <w:rFonts w:ascii="Arial" w:eastAsia="Times New Roman" w:hAnsi="Arial" w:cs="Arial"/>
          <w:color w:val="444444"/>
          <w:sz w:val="20"/>
          <w:szCs w:val="20"/>
          <w:lang w:val="en"/>
        </w:rPr>
      </w:pPr>
      <w:r w:rsidRPr="00506575">
        <w:rPr>
          <w:rFonts w:ascii="Arial" w:eastAsia="Times New Roman" w:hAnsi="Arial" w:cs="Arial"/>
          <w:color w:val="444444"/>
          <w:sz w:val="20"/>
          <w:szCs w:val="20"/>
          <w:lang w:val="en"/>
        </w:rPr>
        <w:t>Uniform Administrative Requirements, Cost Principles, and Audit Requirements for Federal Awards Code of Federal Regulations Title 2: Grants and Agreements Part 200 (2 CFR 200).</w:t>
      </w:r>
    </w:p>
    <w:p w:rsidR="00506575" w:rsidRPr="00506575" w:rsidRDefault="00506575" w:rsidP="00506575">
      <w:pPr>
        <w:shd w:val="clear" w:color="auto" w:fill="FFFFFF"/>
        <w:spacing w:after="288" w:line="336" w:lineRule="atLeast"/>
        <w:rPr>
          <w:rFonts w:ascii="Arial" w:eastAsia="Times New Roman" w:hAnsi="Arial" w:cs="Arial"/>
          <w:color w:val="444444"/>
          <w:sz w:val="20"/>
          <w:szCs w:val="20"/>
          <w:lang w:val="en"/>
        </w:rPr>
      </w:pPr>
      <w:r w:rsidRPr="00506575">
        <w:rPr>
          <w:rFonts w:ascii="Arial" w:eastAsia="Times New Roman" w:hAnsi="Arial" w:cs="Arial"/>
          <w:b/>
          <w:bCs/>
          <w:color w:val="444444"/>
          <w:sz w:val="20"/>
          <w:szCs w:val="20"/>
          <w:lang w:val="en"/>
        </w:rPr>
        <w:t>Allowable Costs (200.403)</w:t>
      </w:r>
    </w:p>
    <w:p w:rsidR="00506575" w:rsidRPr="00506575" w:rsidRDefault="00506575" w:rsidP="00506575">
      <w:pPr>
        <w:numPr>
          <w:ilvl w:val="0"/>
          <w:numId w:val="3"/>
        </w:numPr>
        <w:shd w:val="clear" w:color="auto" w:fill="FFFFFF"/>
        <w:spacing w:before="100" w:beforeAutospacing="1" w:after="100" w:afterAutospacing="1" w:line="240" w:lineRule="auto"/>
        <w:ind w:left="0" w:right="360"/>
        <w:rPr>
          <w:rFonts w:ascii="Arial" w:eastAsia="Times New Roman" w:hAnsi="Arial" w:cs="Arial"/>
          <w:color w:val="444444"/>
          <w:sz w:val="20"/>
          <w:szCs w:val="20"/>
          <w:lang w:val="en"/>
        </w:rPr>
      </w:pPr>
      <w:r w:rsidRPr="00506575">
        <w:rPr>
          <w:rFonts w:ascii="Arial" w:eastAsia="Times New Roman" w:hAnsi="Arial" w:cs="Arial"/>
          <w:color w:val="444444"/>
          <w:sz w:val="20"/>
          <w:szCs w:val="20"/>
          <w:lang w:val="en"/>
        </w:rPr>
        <w:t xml:space="preserve">An expense which can be placed in the indirect cost rate proposal based on the following: </w:t>
      </w:r>
    </w:p>
    <w:p w:rsidR="00506575" w:rsidRPr="00506575" w:rsidRDefault="00506575" w:rsidP="00506575">
      <w:pPr>
        <w:shd w:val="clear" w:color="auto" w:fill="FFFFFF"/>
        <w:spacing w:after="288" w:line="336" w:lineRule="atLeast"/>
        <w:ind w:right="360"/>
        <w:rPr>
          <w:rFonts w:ascii="Arial" w:eastAsia="Times New Roman" w:hAnsi="Arial" w:cs="Arial"/>
          <w:color w:val="444444"/>
          <w:sz w:val="20"/>
          <w:szCs w:val="20"/>
          <w:lang w:val="en"/>
        </w:rPr>
      </w:pPr>
      <w:r w:rsidRPr="00506575">
        <w:rPr>
          <w:rFonts w:ascii="Arial" w:eastAsia="Times New Roman" w:hAnsi="Arial" w:cs="Arial"/>
          <w:color w:val="444444"/>
          <w:sz w:val="20"/>
          <w:szCs w:val="20"/>
          <w:lang w:val="en"/>
        </w:rPr>
        <w:t>1. Reasonable – A prudent person would have purchased the item and paid that price.</w:t>
      </w:r>
      <w:r w:rsidRPr="00506575">
        <w:rPr>
          <w:rFonts w:ascii="Arial" w:eastAsia="Times New Roman" w:hAnsi="Arial" w:cs="Arial"/>
          <w:color w:val="444444"/>
          <w:sz w:val="20"/>
          <w:szCs w:val="20"/>
          <w:lang w:val="en"/>
        </w:rPr>
        <w:br/>
        <w:t>2. Allocable – Expenses are at least partially applicable to a sponsored agreement. This is true for direct and indirect costs.</w:t>
      </w:r>
      <w:r w:rsidRPr="00506575">
        <w:rPr>
          <w:rFonts w:ascii="Arial" w:eastAsia="Times New Roman" w:hAnsi="Arial" w:cs="Arial"/>
          <w:color w:val="444444"/>
          <w:sz w:val="20"/>
          <w:szCs w:val="20"/>
          <w:lang w:val="en"/>
        </w:rPr>
        <w:br/>
        <w:t>3. Consistently Treated – Expenses for similar purposes must be treated the same way (throughout the university) under like circumstances.</w:t>
      </w:r>
      <w:r w:rsidRPr="00506575">
        <w:rPr>
          <w:rFonts w:ascii="Arial" w:eastAsia="Times New Roman" w:hAnsi="Arial" w:cs="Arial"/>
          <w:color w:val="444444"/>
          <w:sz w:val="20"/>
          <w:szCs w:val="20"/>
          <w:lang w:val="en"/>
        </w:rPr>
        <w:br/>
        <w:t xml:space="preserve">4. Allowable – The expense must be allowable or not specifically excluded as specified by government regulations. </w:t>
      </w:r>
    </w:p>
    <w:p w:rsidR="00506575" w:rsidRPr="00506575" w:rsidRDefault="00506575" w:rsidP="00506575">
      <w:pPr>
        <w:shd w:val="clear" w:color="auto" w:fill="FFFFFF"/>
        <w:spacing w:after="288" w:line="336" w:lineRule="atLeast"/>
        <w:rPr>
          <w:rFonts w:ascii="Arial" w:eastAsia="Times New Roman" w:hAnsi="Arial" w:cs="Arial"/>
          <w:color w:val="444444"/>
          <w:sz w:val="20"/>
          <w:szCs w:val="20"/>
          <w:lang w:val="en"/>
        </w:rPr>
      </w:pPr>
      <w:r w:rsidRPr="00506575">
        <w:rPr>
          <w:rFonts w:ascii="Arial" w:eastAsia="Times New Roman" w:hAnsi="Arial" w:cs="Arial"/>
          <w:b/>
          <w:bCs/>
          <w:color w:val="444444"/>
          <w:sz w:val="20"/>
          <w:szCs w:val="20"/>
          <w:lang w:val="en"/>
        </w:rPr>
        <w:t>Direct Costs (200.413)</w:t>
      </w:r>
    </w:p>
    <w:p w:rsidR="00506575" w:rsidRPr="00506575" w:rsidRDefault="00506575" w:rsidP="00506575">
      <w:pPr>
        <w:numPr>
          <w:ilvl w:val="0"/>
          <w:numId w:val="4"/>
        </w:numPr>
        <w:shd w:val="clear" w:color="auto" w:fill="FFFFFF"/>
        <w:spacing w:before="100" w:beforeAutospacing="1" w:after="100" w:afterAutospacing="1" w:line="240" w:lineRule="auto"/>
        <w:ind w:left="0" w:right="360"/>
        <w:rPr>
          <w:rFonts w:ascii="Arial" w:eastAsia="Times New Roman" w:hAnsi="Arial" w:cs="Arial"/>
          <w:color w:val="444444"/>
          <w:sz w:val="20"/>
          <w:szCs w:val="20"/>
          <w:lang w:val="en"/>
        </w:rPr>
      </w:pPr>
      <w:r w:rsidRPr="00506575">
        <w:rPr>
          <w:rFonts w:ascii="Arial" w:eastAsia="Times New Roman" w:hAnsi="Arial" w:cs="Arial"/>
          <w:color w:val="444444"/>
          <w:sz w:val="20"/>
          <w:szCs w:val="20"/>
          <w:lang w:val="en"/>
        </w:rPr>
        <w:t>Direct costs are those costs that can be identified specifically with a particular final cost objective, such as a Federal award, or other internally or externally funded activity, or that can be directly assigned to such activities relatively easily with a high degree of accuracy. Costs incurred for the same purpose in like circumstances must be treated consistently as either direct or indirect (F&amp;A) costs.</w:t>
      </w:r>
    </w:p>
    <w:p w:rsidR="00506575" w:rsidRPr="00506575" w:rsidRDefault="00506575" w:rsidP="00506575">
      <w:pPr>
        <w:shd w:val="clear" w:color="auto" w:fill="FFFFFF"/>
        <w:spacing w:after="288" w:line="336" w:lineRule="atLeast"/>
        <w:rPr>
          <w:rFonts w:ascii="Arial" w:eastAsia="Times New Roman" w:hAnsi="Arial" w:cs="Arial"/>
          <w:color w:val="444444"/>
          <w:sz w:val="20"/>
          <w:szCs w:val="20"/>
          <w:lang w:val="en"/>
        </w:rPr>
      </w:pPr>
      <w:r w:rsidRPr="00506575">
        <w:rPr>
          <w:rFonts w:ascii="Arial" w:eastAsia="Times New Roman" w:hAnsi="Arial" w:cs="Arial"/>
          <w:b/>
          <w:bCs/>
          <w:color w:val="444444"/>
          <w:sz w:val="20"/>
          <w:szCs w:val="20"/>
          <w:lang w:val="en"/>
        </w:rPr>
        <w:t>Indirect (facilities &amp; administrative (F&amp;A)) costs (200.56)</w:t>
      </w:r>
    </w:p>
    <w:p w:rsidR="00506575" w:rsidRPr="00506575" w:rsidRDefault="00506575" w:rsidP="00506575">
      <w:pPr>
        <w:numPr>
          <w:ilvl w:val="0"/>
          <w:numId w:val="5"/>
        </w:numPr>
        <w:shd w:val="clear" w:color="auto" w:fill="FFFFFF"/>
        <w:spacing w:before="100" w:beforeAutospacing="1" w:after="100" w:afterAutospacing="1" w:line="240" w:lineRule="auto"/>
        <w:ind w:left="0" w:right="360"/>
        <w:rPr>
          <w:rFonts w:ascii="Arial" w:eastAsia="Times New Roman" w:hAnsi="Arial" w:cs="Arial"/>
          <w:color w:val="444444"/>
          <w:sz w:val="20"/>
          <w:szCs w:val="20"/>
          <w:lang w:val="en"/>
        </w:rPr>
      </w:pPr>
      <w:r w:rsidRPr="00506575">
        <w:rPr>
          <w:rFonts w:ascii="Arial" w:eastAsia="Times New Roman" w:hAnsi="Arial" w:cs="Arial"/>
          <w:color w:val="444444"/>
          <w:sz w:val="20"/>
          <w:szCs w:val="20"/>
          <w:lang w:val="en"/>
        </w:rPr>
        <w:t xml:space="preserve">Indirect (F&amp;A) costs means those costs incurred for the common or joint purpose benefitting more than one cost objective, and not readily assignable to the cost objectives specifically benefitted, without effort disproportionate to the results achieved. </w:t>
      </w:r>
    </w:p>
    <w:p w:rsidR="00506575" w:rsidRPr="00506575" w:rsidRDefault="00506575" w:rsidP="00506575">
      <w:pPr>
        <w:shd w:val="clear" w:color="auto" w:fill="FFFFFF"/>
        <w:spacing w:after="288" w:line="336" w:lineRule="atLeast"/>
        <w:rPr>
          <w:rFonts w:ascii="Arial" w:eastAsia="Times New Roman" w:hAnsi="Arial" w:cs="Arial"/>
          <w:color w:val="444444"/>
          <w:sz w:val="20"/>
          <w:szCs w:val="20"/>
          <w:lang w:val="en"/>
        </w:rPr>
      </w:pPr>
      <w:r w:rsidRPr="00506575">
        <w:rPr>
          <w:rFonts w:ascii="Arial" w:eastAsia="Times New Roman" w:hAnsi="Arial" w:cs="Arial"/>
          <w:b/>
          <w:bCs/>
          <w:color w:val="444444"/>
          <w:sz w:val="20"/>
          <w:szCs w:val="20"/>
          <w:lang w:val="en"/>
        </w:rPr>
        <w:t>PI</w:t>
      </w:r>
    </w:p>
    <w:p w:rsidR="00506575" w:rsidRPr="00506575" w:rsidRDefault="00506575" w:rsidP="00506575">
      <w:pPr>
        <w:numPr>
          <w:ilvl w:val="0"/>
          <w:numId w:val="6"/>
        </w:numPr>
        <w:shd w:val="clear" w:color="auto" w:fill="FFFFFF"/>
        <w:spacing w:before="100" w:beforeAutospacing="1" w:after="100" w:afterAutospacing="1" w:line="240" w:lineRule="auto"/>
        <w:ind w:left="0" w:right="360"/>
        <w:rPr>
          <w:rFonts w:ascii="Arial" w:eastAsia="Times New Roman" w:hAnsi="Arial" w:cs="Arial"/>
          <w:color w:val="444444"/>
          <w:sz w:val="20"/>
          <w:szCs w:val="20"/>
          <w:lang w:val="en"/>
        </w:rPr>
      </w:pPr>
      <w:r w:rsidRPr="00506575">
        <w:rPr>
          <w:rFonts w:ascii="Arial" w:eastAsia="Times New Roman" w:hAnsi="Arial" w:cs="Arial"/>
          <w:color w:val="444444"/>
          <w:sz w:val="20"/>
          <w:szCs w:val="20"/>
          <w:lang w:val="en"/>
        </w:rPr>
        <w:t>Principal Investigator on a grant, contract or cooperative agreement. This person bears the main responsibility for costs that are charged to that agreement.</w:t>
      </w:r>
    </w:p>
    <w:p w:rsidR="00506575" w:rsidRPr="00506575" w:rsidRDefault="00506575" w:rsidP="00506575">
      <w:pPr>
        <w:shd w:val="clear" w:color="auto" w:fill="FFFFFF"/>
        <w:spacing w:before="100" w:beforeAutospacing="1" w:after="120" w:line="240" w:lineRule="auto"/>
        <w:outlineLvl w:val="2"/>
        <w:rPr>
          <w:rFonts w:ascii="ufshands" w:eastAsia="Times New Roman" w:hAnsi="ufshands" w:cs="Arial"/>
          <w:color w:val="243778"/>
          <w:sz w:val="28"/>
          <w:szCs w:val="28"/>
          <w:lang w:val="en"/>
        </w:rPr>
      </w:pPr>
      <w:r w:rsidRPr="00506575">
        <w:rPr>
          <w:rFonts w:ascii="ufshands" w:eastAsia="Times New Roman" w:hAnsi="ufshands" w:cs="Arial"/>
          <w:color w:val="243778"/>
          <w:sz w:val="28"/>
          <w:szCs w:val="28"/>
          <w:lang w:val="en"/>
        </w:rPr>
        <w:t>Guideline Issues</w:t>
      </w:r>
    </w:p>
    <w:p w:rsidR="00506575" w:rsidRPr="00506575" w:rsidRDefault="00506575" w:rsidP="00506575">
      <w:pPr>
        <w:shd w:val="clear" w:color="auto" w:fill="FFFFFF"/>
        <w:spacing w:after="288" w:line="336" w:lineRule="atLeast"/>
        <w:rPr>
          <w:rFonts w:ascii="Arial" w:eastAsia="Times New Roman" w:hAnsi="Arial" w:cs="Arial"/>
          <w:color w:val="444444"/>
          <w:sz w:val="20"/>
          <w:szCs w:val="20"/>
          <w:lang w:val="en"/>
        </w:rPr>
      </w:pPr>
      <w:r w:rsidRPr="00506575">
        <w:rPr>
          <w:rFonts w:ascii="Arial" w:eastAsia="Times New Roman" w:hAnsi="Arial" w:cs="Arial"/>
          <w:color w:val="444444"/>
          <w:sz w:val="20"/>
          <w:szCs w:val="20"/>
          <w:lang w:val="en"/>
        </w:rPr>
        <w:t xml:space="preserve">Unallowable costs fall into two categories, those costs unallowable in and of themselves such as entertainment or lobbying, and costs related to activities that are unallowable such as alumni activity or </w:t>
      </w:r>
      <w:r w:rsidRPr="00506575">
        <w:rPr>
          <w:rFonts w:ascii="Arial" w:eastAsia="Times New Roman" w:hAnsi="Arial" w:cs="Arial"/>
          <w:color w:val="444444"/>
          <w:sz w:val="20"/>
          <w:szCs w:val="20"/>
          <w:lang w:val="en"/>
        </w:rPr>
        <w:lastRenderedPageBreak/>
        <w:t>public relations. It is important that all unallowable costs be recorded in a manner that makes them identifiable. In order for that to occur, there needs to be campus wide awareness and training at the departmental level where costs are incurred and first recorded.</w:t>
      </w:r>
    </w:p>
    <w:p w:rsidR="00506575" w:rsidRPr="00506575" w:rsidRDefault="00506575" w:rsidP="00506575">
      <w:pPr>
        <w:shd w:val="clear" w:color="auto" w:fill="FFFFFF"/>
        <w:spacing w:before="100" w:beforeAutospacing="1" w:after="120" w:line="240" w:lineRule="auto"/>
        <w:outlineLvl w:val="2"/>
        <w:rPr>
          <w:rFonts w:ascii="ufshands" w:eastAsia="Times New Roman" w:hAnsi="ufshands" w:cs="Arial"/>
          <w:color w:val="243778"/>
          <w:sz w:val="28"/>
          <w:szCs w:val="28"/>
          <w:lang w:val="en"/>
        </w:rPr>
      </w:pPr>
      <w:r w:rsidRPr="00506575">
        <w:rPr>
          <w:rFonts w:ascii="ufshands" w:eastAsia="Times New Roman" w:hAnsi="ufshands" w:cs="Arial"/>
          <w:color w:val="243778"/>
          <w:sz w:val="28"/>
          <w:szCs w:val="28"/>
          <w:lang w:val="en"/>
        </w:rPr>
        <w:t>Responsibility for compliance</w:t>
      </w:r>
    </w:p>
    <w:p w:rsidR="00506575" w:rsidRPr="00506575" w:rsidRDefault="00506575" w:rsidP="00506575">
      <w:pPr>
        <w:shd w:val="clear" w:color="auto" w:fill="FFFFFF"/>
        <w:spacing w:after="288" w:line="336" w:lineRule="atLeast"/>
        <w:rPr>
          <w:rFonts w:ascii="Arial" w:eastAsia="Times New Roman" w:hAnsi="Arial" w:cs="Arial"/>
          <w:color w:val="444444"/>
          <w:sz w:val="20"/>
          <w:szCs w:val="20"/>
          <w:lang w:val="en"/>
        </w:rPr>
      </w:pPr>
      <w:r w:rsidRPr="00506575">
        <w:rPr>
          <w:rFonts w:ascii="Arial" w:eastAsia="Times New Roman" w:hAnsi="Arial" w:cs="Arial"/>
          <w:color w:val="444444"/>
          <w:sz w:val="20"/>
          <w:szCs w:val="20"/>
          <w:lang w:val="en"/>
        </w:rPr>
        <w:t>Responsibility for following these guidelines lies primarily with Principle Investigators, Department Chairs and fiscal personnel with the general guidance and oversight of the colleges,</w:t>
      </w:r>
      <w:r w:rsidR="00032FD9">
        <w:rPr>
          <w:rFonts w:ascii="Arial" w:eastAsia="Times New Roman" w:hAnsi="Arial" w:cs="Arial"/>
          <w:color w:val="444444"/>
          <w:sz w:val="20"/>
          <w:szCs w:val="20"/>
          <w:lang w:val="en"/>
        </w:rPr>
        <w:t xml:space="preserve"> schools and divisions. Grant Accounting and ORSP</w:t>
      </w:r>
      <w:r w:rsidRPr="00506575">
        <w:rPr>
          <w:rFonts w:ascii="Arial" w:eastAsia="Times New Roman" w:hAnsi="Arial" w:cs="Arial"/>
          <w:color w:val="444444"/>
          <w:sz w:val="20"/>
          <w:szCs w:val="20"/>
          <w:lang w:val="en"/>
        </w:rPr>
        <w:t xml:space="preserve"> is responsible for guidance and training and for insuring compliance through periodic internal and external audits.</w:t>
      </w:r>
    </w:p>
    <w:p w:rsidR="00506575" w:rsidRPr="00506575" w:rsidRDefault="00506575" w:rsidP="00506575">
      <w:pPr>
        <w:shd w:val="clear" w:color="auto" w:fill="FFFFFF"/>
        <w:spacing w:before="100" w:beforeAutospacing="1" w:after="120" w:line="240" w:lineRule="auto"/>
        <w:outlineLvl w:val="2"/>
        <w:rPr>
          <w:rFonts w:ascii="ufshands" w:eastAsia="Times New Roman" w:hAnsi="ufshands" w:cs="Arial"/>
          <w:color w:val="243778"/>
          <w:sz w:val="28"/>
          <w:szCs w:val="28"/>
          <w:lang w:val="en"/>
        </w:rPr>
      </w:pPr>
      <w:r w:rsidRPr="00506575">
        <w:rPr>
          <w:rFonts w:ascii="ufshands" w:eastAsia="Times New Roman" w:hAnsi="ufshands" w:cs="Arial"/>
          <w:color w:val="243778"/>
          <w:sz w:val="28"/>
          <w:szCs w:val="28"/>
          <w:lang w:val="en"/>
        </w:rPr>
        <w:t>Department Responsibilities</w:t>
      </w:r>
    </w:p>
    <w:p w:rsidR="00506575" w:rsidRPr="00506575" w:rsidRDefault="00506575" w:rsidP="00506575">
      <w:pPr>
        <w:shd w:val="clear" w:color="auto" w:fill="FFFFFF"/>
        <w:spacing w:after="288" w:line="336" w:lineRule="atLeast"/>
        <w:rPr>
          <w:rFonts w:ascii="Arial" w:eastAsia="Times New Roman" w:hAnsi="Arial" w:cs="Arial"/>
          <w:color w:val="444444"/>
          <w:sz w:val="20"/>
          <w:szCs w:val="20"/>
          <w:lang w:val="en"/>
        </w:rPr>
      </w:pPr>
      <w:r w:rsidRPr="00506575">
        <w:rPr>
          <w:rFonts w:ascii="Arial" w:eastAsia="Times New Roman" w:hAnsi="Arial" w:cs="Arial"/>
          <w:color w:val="444444"/>
          <w:sz w:val="20"/>
          <w:szCs w:val="20"/>
          <w:lang w:val="en"/>
        </w:rPr>
        <w:t>The first and foremost responsibility for identifying and segregating unallowable costs is at the department level when the costs are incurred and recorded. Any questions regar</w:t>
      </w:r>
      <w:r w:rsidR="00497B9C">
        <w:rPr>
          <w:rFonts w:ascii="Arial" w:eastAsia="Times New Roman" w:hAnsi="Arial" w:cs="Arial"/>
          <w:color w:val="444444"/>
          <w:sz w:val="20"/>
          <w:szCs w:val="20"/>
          <w:lang w:val="en"/>
        </w:rPr>
        <w:t>ding a particular cost</w:t>
      </w:r>
      <w:r w:rsidR="00032FD9">
        <w:rPr>
          <w:rFonts w:ascii="Arial" w:eastAsia="Times New Roman" w:hAnsi="Arial" w:cs="Arial"/>
          <w:color w:val="444444"/>
          <w:sz w:val="20"/>
          <w:szCs w:val="20"/>
          <w:lang w:val="en"/>
        </w:rPr>
        <w:t xml:space="preserve"> can be addressed to the Grant Accounting Office</w:t>
      </w:r>
      <w:r w:rsidRPr="00506575">
        <w:rPr>
          <w:rFonts w:ascii="Arial" w:eastAsia="Times New Roman" w:hAnsi="Arial" w:cs="Arial"/>
          <w:color w:val="444444"/>
          <w:sz w:val="20"/>
          <w:szCs w:val="20"/>
          <w:lang w:val="en"/>
        </w:rPr>
        <w:t xml:space="preserve"> which is the central unit designated to carry out these oversight responsibilities.</w:t>
      </w:r>
    </w:p>
    <w:p w:rsidR="00506575" w:rsidRPr="00506575" w:rsidRDefault="00497B9C" w:rsidP="00506575">
      <w:pPr>
        <w:shd w:val="clear" w:color="auto" w:fill="FFFFFF"/>
        <w:spacing w:before="100" w:beforeAutospacing="1" w:after="120" w:line="240" w:lineRule="auto"/>
        <w:outlineLvl w:val="2"/>
        <w:rPr>
          <w:rFonts w:ascii="ufshands" w:eastAsia="Times New Roman" w:hAnsi="ufshands" w:cs="Arial"/>
          <w:color w:val="243778"/>
          <w:sz w:val="28"/>
          <w:szCs w:val="28"/>
          <w:lang w:val="en"/>
        </w:rPr>
      </w:pPr>
      <w:r>
        <w:rPr>
          <w:rFonts w:ascii="ufshands" w:eastAsia="Times New Roman" w:hAnsi="ufshands" w:cs="Arial"/>
          <w:color w:val="243778"/>
          <w:sz w:val="28"/>
          <w:szCs w:val="28"/>
          <w:lang w:val="en"/>
        </w:rPr>
        <w:t>Treatment of Unallowable Cost</w:t>
      </w:r>
    </w:p>
    <w:p w:rsidR="009027DF" w:rsidRPr="009027DF" w:rsidRDefault="00497B9C" w:rsidP="009027DF">
      <w:pPr>
        <w:rPr>
          <w:rFonts w:ascii="Arial" w:eastAsia="Times New Roman" w:hAnsi="Arial" w:cs="Arial"/>
          <w:color w:val="444444"/>
          <w:sz w:val="20"/>
          <w:szCs w:val="20"/>
          <w:lang w:val="en"/>
        </w:rPr>
      </w:pPr>
      <w:r>
        <w:rPr>
          <w:rFonts w:ascii="Arial" w:eastAsia="Times New Roman" w:hAnsi="Arial" w:cs="Arial"/>
          <w:color w:val="444444"/>
          <w:sz w:val="20"/>
          <w:szCs w:val="20"/>
          <w:lang w:val="en"/>
        </w:rPr>
        <w:t>Any unallowable cost noted on a grant</w:t>
      </w:r>
      <w:r w:rsidRPr="00497B9C">
        <w:rPr>
          <w:rFonts w:ascii="Arial" w:eastAsia="Times New Roman" w:hAnsi="Arial" w:cs="Arial"/>
          <w:color w:val="444444"/>
          <w:sz w:val="20"/>
          <w:szCs w:val="20"/>
          <w:lang w:val="en"/>
        </w:rPr>
        <w:t xml:space="preserve"> will be charged against the department’s private accounts and/or operating budget.</w:t>
      </w:r>
      <w:r w:rsidR="009027DF" w:rsidRPr="009027DF">
        <w:t xml:space="preserve"> </w:t>
      </w:r>
      <w:r w:rsidR="009027DF">
        <w:t xml:space="preserve">The </w:t>
      </w:r>
      <w:r w:rsidR="009027DF" w:rsidRPr="009027DF">
        <w:rPr>
          <w:rFonts w:ascii="Arial" w:eastAsia="Times New Roman" w:hAnsi="Arial" w:cs="Arial"/>
          <w:color w:val="444444"/>
          <w:sz w:val="20"/>
          <w:szCs w:val="20"/>
          <w:lang w:val="en"/>
        </w:rPr>
        <w:t>cost</w:t>
      </w:r>
      <w:r w:rsidR="009027DF">
        <w:rPr>
          <w:rFonts w:ascii="Arial" w:eastAsia="Times New Roman" w:hAnsi="Arial" w:cs="Arial"/>
          <w:color w:val="444444"/>
          <w:sz w:val="20"/>
          <w:szCs w:val="20"/>
          <w:lang w:val="en"/>
        </w:rPr>
        <w:t>s</w:t>
      </w:r>
      <w:r w:rsidR="009027DF" w:rsidRPr="009027DF">
        <w:rPr>
          <w:rFonts w:ascii="Arial" w:eastAsia="Times New Roman" w:hAnsi="Arial" w:cs="Arial"/>
          <w:color w:val="444444"/>
          <w:sz w:val="20"/>
          <w:szCs w:val="20"/>
          <w:lang w:val="en"/>
        </w:rPr>
        <w:t xml:space="preserve"> that are specifically designated as unallowable costs by OMB Uniform Guidance include: </w:t>
      </w:r>
    </w:p>
    <w:p w:rsidR="009027DF" w:rsidRPr="009027DF" w:rsidRDefault="009027DF" w:rsidP="009027DF">
      <w:pPr>
        <w:pStyle w:val="ListParagraph"/>
        <w:numPr>
          <w:ilvl w:val="0"/>
          <w:numId w:val="10"/>
        </w:numPr>
        <w:rPr>
          <w:rFonts w:ascii="Arial" w:eastAsia="Times New Roman" w:hAnsi="Arial" w:cs="Arial"/>
          <w:color w:val="444444"/>
          <w:sz w:val="20"/>
          <w:szCs w:val="20"/>
          <w:lang w:val="en"/>
        </w:rPr>
      </w:pPr>
      <w:r w:rsidRPr="009027DF">
        <w:rPr>
          <w:rFonts w:ascii="Arial" w:eastAsia="Times New Roman" w:hAnsi="Arial" w:cs="Arial"/>
          <w:color w:val="444444"/>
          <w:sz w:val="20"/>
          <w:szCs w:val="20"/>
          <w:lang w:val="en"/>
        </w:rPr>
        <w:t>advertising expenses except for employee and subject recruitment</w:t>
      </w:r>
    </w:p>
    <w:p w:rsidR="009027DF" w:rsidRPr="009027DF" w:rsidRDefault="009027DF" w:rsidP="009027DF">
      <w:pPr>
        <w:pStyle w:val="ListParagraph"/>
        <w:numPr>
          <w:ilvl w:val="0"/>
          <w:numId w:val="10"/>
        </w:numPr>
        <w:rPr>
          <w:rFonts w:ascii="Arial" w:eastAsia="Times New Roman" w:hAnsi="Arial" w:cs="Arial"/>
          <w:color w:val="444444"/>
          <w:sz w:val="20"/>
          <w:szCs w:val="20"/>
          <w:lang w:val="en"/>
        </w:rPr>
      </w:pPr>
      <w:r w:rsidRPr="009027DF">
        <w:rPr>
          <w:rFonts w:ascii="Arial" w:eastAsia="Times New Roman" w:hAnsi="Arial" w:cs="Arial"/>
          <w:color w:val="444444"/>
          <w:sz w:val="20"/>
          <w:szCs w:val="20"/>
          <w:lang w:val="en"/>
        </w:rPr>
        <w:t>alcoholic beverages</w:t>
      </w:r>
    </w:p>
    <w:p w:rsidR="009027DF" w:rsidRPr="009027DF" w:rsidRDefault="009027DF" w:rsidP="009027DF">
      <w:pPr>
        <w:pStyle w:val="ListParagraph"/>
        <w:numPr>
          <w:ilvl w:val="0"/>
          <w:numId w:val="10"/>
        </w:numPr>
        <w:rPr>
          <w:rFonts w:ascii="Arial" w:eastAsia="Times New Roman" w:hAnsi="Arial" w:cs="Arial"/>
          <w:color w:val="444444"/>
          <w:sz w:val="20"/>
          <w:szCs w:val="20"/>
          <w:lang w:val="en"/>
        </w:rPr>
      </w:pPr>
      <w:r w:rsidRPr="009027DF">
        <w:rPr>
          <w:rFonts w:ascii="Arial" w:eastAsia="Times New Roman" w:hAnsi="Arial" w:cs="Arial"/>
          <w:color w:val="444444"/>
          <w:sz w:val="20"/>
          <w:szCs w:val="20"/>
          <w:lang w:val="en"/>
        </w:rPr>
        <w:t>alumni activities</w:t>
      </w:r>
    </w:p>
    <w:p w:rsidR="009027DF" w:rsidRPr="009027DF" w:rsidRDefault="009027DF" w:rsidP="009027DF">
      <w:pPr>
        <w:pStyle w:val="ListParagraph"/>
        <w:numPr>
          <w:ilvl w:val="0"/>
          <w:numId w:val="10"/>
        </w:numPr>
        <w:rPr>
          <w:rFonts w:ascii="Arial" w:eastAsia="Times New Roman" w:hAnsi="Arial" w:cs="Arial"/>
          <w:color w:val="444444"/>
          <w:sz w:val="20"/>
          <w:szCs w:val="20"/>
          <w:lang w:val="en"/>
        </w:rPr>
      </w:pPr>
      <w:r w:rsidRPr="009027DF">
        <w:rPr>
          <w:rFonts w:ascii="Arial" w:eastAsia="Times New Roman" w:hAnsi="Arial" w:cs="Arial"/>
          <w:color w:val="444444"/>
          <w:sz w:val="20"/>
          <w:szCs w:val="20"/>
          <w:lang w:val="en"/>
        </w:rPr>
        <w:t>bad debts</w:t>
      </w:r>
      <w:bookmarkStart w:id="0" w:name="_GoBack"/>
      <w:bookmarkEnd w:id="0"/>
    </w:p>
    <w:p w:rsidR="009027DF" w:rsidRPr="009027DF" w:rsidRDefault="009027DF" w:rsidP="009027DF">
      <w:pPr>
        <w:pStyle w:val="ListParagraph"/>
        <w:numPr>
          <w:ilvl w:val="0"/>
          <w:numId w:val="10"/>
        </w:numPr>
        <w:rPr>
          <w:rFonts w:ascii="Arial" w:eastAsia="Times New Roman" w:hAnsi="Arial" w:cs="Arial"/>
          <w:color w:val="444444"/>
          <w:sz w:val="20"/>
          <w:szCs w:val="20"/>
          <w:lang w:val="en"/>
        </w:rPr>
      </w:pPr>
      <w:r w:rsidRPr="009027DF">
        <w:rPr>
          <w:rFonts w:ascii="Arial" w:eastAsia="Times New Roman" w:hAnsi="Arial" w:cs="Arial"/>
          <w:color w:val="444444"/>
          <w:sz w:val="20"/>
          <w:szCs w:val="20"/>
          <w:lang w:val="en"/>
        </w:rPr>
        <w:t>commencement and convocation costs</w:t>
      </w:r>
    </w:p>
    <w:p w:rsidR="009027DF" w:rsidRPr="009027DF" w:rsidRDefault="009027DF" w:rsidP="009027DF">
      <w:pPr>
        <w:pStyle w:val="ListParagraph"/>
        <w:numPr>
          <w:ilvl w:val="0"/>
          <w:numId w:val="10"/>
        </w:numPr>
        <w:rPr>
          <w:rFonts w:ascii="Arial" w:eastAsia="Times New Roman" w:hAnsi="Arial" w:cs="Arial"/>
          <w:color w:val="444444"/>
          <w:sz w:val="20"/>
          <w:szCs w:val="20"/>
          <w:lang w:val="en"/>
        </w:rPr>
      </w:pPr>
      <w:r w:rsidRPr="009027DF">
        <w:rPr>
          <w:rFonts w:ascii="Arial" w:eastAsia="Times New Roman" w:hAnsi="Arial" w:cs="Arial"/>
          <w:color w:val="444444"/>
          <w:sz w:val="20"/>
          <w:szCs w:val="20"/>
          <w:lang w:val="en"/>
        </w:rPr>
        <w:t>contingency provision costs</w:t>
      </w:r>
    </w:p>
    <w:p w:rsidR="009027DF" w:rsidRPr="009027DF" w:rsidRDefault="009027DF" w:rsidP="009027DF">
      <w:pPr>
        <w:pStyle w:val="ListParagraph"/>
        <w:numPr>
          <w:ilvl w:val="0"/>
          <w:numId w:val="10"/>
        </w:numPr>
        <w:rPr>
          <w:rFonts w:ascii="Arial" w:eastAsia="Times New Roman" w:hAnsi="Arial" w:cs="Arial"/>
          <w:color w:val="444444"/>
          <w:sz w:val="20"/>
          <w:szCs w:val="20"/>
          <w:lang w:val="en"/>
        </w:rPr>
      </w:pPr>
      <w:r w:rsidRPr="009027DF">
        <w:rPr>
          <w:rFonts w:ascii="Arial" w:eastAsia="Times New Roman" w:hAnsi="Arial" w:cs="Arial"/>
          <w:color w:val="444444"/>
          <w:sz w:val="20"/>
          <w:szCs w:val="20"/>
          <w:lang w:val="en"/>
        </w:rPr>
        <w:t>certain defense and prosecution of criminal and civil proceedings</w:t>
      </w:r>
    </w:p>
    <w:p w:rsidR="009027DF" w:rsidRPr="009027DF" w:rsidRDefault="009027DF" w:rsidP="009027DF">
      <w:pPr>
        <w:pStyle w:val="ListParagraph"/>
        <w:numPr>
          <w:ilvl w:val="0"/>
          <w:numId w:val="10"/>
        </w:numPr>
        <w:rPr>
          <w:rFonts w:ascii="Arial" w:eastAsia="Times New Roman" w:hAnsi="Arial" w:cs="Arial"/>
          <w:color w:val="444444"/>
          <w:sz w:val="20"/>
          <w:szCs w:val="20"/>
          <w:lang w:val="en"/>
        </w:rPr>
      </w:pPr>
      <w:r w:rsidRPr="009027DF">
        <w:rPr>
          <w:rFonts w:ascii="Arial" w:eastAsia="Times New Roman" w:hAnsi="Arial" w:cs="Arial"/>
          <w:color w:val="444444"/>
          <w:sz w:val="20"/>
          <w:szCs w:val="20"/>
          <w:lang w:val="en"/>
        </w:rPr>
        <w:t>entertainment costs</w:t>
      </w:r>
    </w:p>
    <w:p w:rsidR="009027DF" w:rsidRPr="009027DF" w:rsidRDefault="009027DF" w:rsidP="009027DF">
      <w:pPr>
        <w:pStyle w:val="ListParagraph"/>
        <w:numPr>
          <w:ilvl w:val="0"/>
          <w:numId w:val="10"/>
        </w:numPr>
        <w:rPr>
          <w:rFonts w:ascii="Arial" w:eastAsia="Times New Roman" w:hAnsi="Arial" w:cs="Arial"/>
          <w:color w:val="444444"/>
          <w:sz w:val="20"/>
          <w:szCs w:val="20"/>
          <w:lang w:val="en"/>
        </w:rPr>
      </w:pPr>
      <w:r w:rsidRPr="009027DF">
        <w:rPr>
          <w:rFonts w:ascii="Arial" w:eastAsia="Times New Roman" w:hAnsi="Arial" w:cs="Arial"/>
          <w:color w:val="444444"/>
          <w:sz w:val="20"/>
          <w:szCs w:val="20"/>
          <w:lang w:val="en"/>
        </w:rPr>
        <w:t>certain fines and penalties</w:t>
      </w:r>
    </w:p>
    <w:p w:rsidR="009027DF" w:rsidRPr="009027DF" w:rsidRDefault="009027DF" w:rsidP="009027DF">
      <w:pPr>
        <w:pStyle w:val="ListParagraph"/>
        <w:numPr>
          <w:ilvl w:val="0"/>
          <w:numId w:val="10"/>
        </w:numPr>
        <w:rPr>
          <w:rFonts w:ascii="Arial" w:eastAsia="Times New Roman" w:hAnsi="Arial" w:cs="Arial"/>
          <w:color w:val="444444"/>
          <w:sz w:val="20"/>
          <w:szCs w:val="20"/>
          <w:lang w:val="en"/>
        </w:rPr>
      </w:pPr>
      <w:r w:rsidRPr="009027DF">
        <w:rPr>
          <w:rFonts w:ascii="Arial" w:eastAsia="Times New Roman" w:hAnsi="Arial" w:cs="Arial"/>
          <w:color w:val="444444"/>
          <w:sz w:val="20"/>
          <w:szCs w:val="20"/>
          <w:lang w:val="en"/>
        </w:rPr>
        <w:t>goods and services for personal use</w:t>
      </w:r>
    </w:p>
    <w:p w:rsidR="009027DF" w:rsidRPr="009027DF" w:rsidRDefault="009027DF" w:rsidP="009027DF">
      <w:pPr>
        <w:pStyle w:val="ListParagraph"/>
        <w:numPr>
          <w:ilvl w:val="0"/>
          <w:numId w:val="10"/>
        </w:numPr>
        <w:rPr>
          <w:rFonts w:ascii="Arial" w:eastAsia="Times New Roman" w:hAnsi="Arial" w:cs="Arial"/>
          <w:color w:val="444444"/>
          <w:sz w:val="20"/>
          <w:szCs w:val="20"/>
          <w:lang w:val="en"/>
        </w:rPr>
      </w:pPr>
      <w:r w:rsidRPr="009027DF">
        <w:rPr>
          <w:rFonts w:ascii="Arial" w:eastAsia="Times New Roman" w:hAnsi="Arial" w:cs="Arial"/>
          <w:color w:val="444444"/>
          <w:sz w:val="20"/>
          <w:szCs w:val="20"/>
          <w:lang w:val="en"/>
        </w:rPr>
        <w:t>housing and personal living expenses for officers of the institution</w:t>
      </w:r>
    </w:p>
    <w:p w:rsidR="009027DF" w:rsidRPr="009027DF" w:rsidRDefault="009027DF" w:rsidP="009027DF">
      <w:pPr>
        <w:pStyle w:val="ListParagraph"/>
        <w:numPr>
          <w:ilvl w:val="0"/>
          <w:numId w:val="10"/>
        </w:numPr>
        <w:rPr>
          <w:rFonts w:ascii="Arial" w:eastAsia="Times New Roman" w:hAnsi="Arial" w:cs="Arial"/>
          <w:color w:val="444444"/>
          <w:sz w:val="20"/>
          <w:szCs w:val="20"/>
          <w:lang w:val="en"/>
        </w:rPr>
      </w:pPr>
      <w:r w:rsidRPr="009027DF">
        <w:rPr>
          <w:rFonts w:ascii="Arial" w:eastAsia="Times New Roman" w:hAnsi="Arial" w:cs="Arial"/>
          <w:color w:val="444444"/>
          <w:sz w:val="20"/>
          <w:szCs w:val="20"/>
          <w:lang w:val="en"/>
        </w:rPr>
        <w:t>insurance against defective work</w:t>
      </w:r>
    </w:p>
    <w:p w:rsidR="009027DF" w:rsidRPr="009027DF" w:rsidRDefault="009027DF" w:rsidP="009027DF">
      <w:pPr>
        <w:pStyle w:val="ListParagraph"/>
        <w:numPr>
          <w:ilvl w:val="0"/>
          <w:numId w:val="10"/>
        </w:numPr>
        <w:rPr>
          <w:rFonts w:ascii="Arial" w:eastAsia="Times New Roman" w:hAnsi="Arial" w:cs="Arial"/>
          <w:color w:val="444444"/>
          <w:sz w:val="20"/>
          <w:szCs w:val="20"/>
          <w:lang w:val="en"/>
        </w:rPr>
      </w:pPr>
      <w:r w:rsidRPr="009027DF">
        <w:rPr>
          <w:rFonts w:ascii="Arial" w:eastAsia="Times New Roman" w:hAnsi="Arial" w:cs="Arial"/>
          <w:color w:val="444444"/>
          <w:sz w:val="20"/>
          <w:szCs w:val="20"/>
          <w:lang w:val="en"/>
        </w:rPr>
        <w:t>interest, fund raising, and investment costs (excluding third party interest expenses)</w:t>
      </w:r>
    </w:p>
    <w:p w:rsidR="009027DF" w:rsidRPr="009027DF" w:rsidRDefault="009027DF" w:rsidP="009027DF">
      <w:pPr>
        <w:pStyle w:val="ListParagraph"/>
        <w:numPr>
          <w:ilvl w:val="0"/>
          <w:numId w:val="10"/>
        </w:numPr>
        <w:rPr>
          <w:rFonts w:ascii="Arial" w:eastAsia="Times New Roman" w:hAnsi="Arial" w:cs="Arial"/>
          <w:color w:val="444444"/>
          <w:sz w:val="20"/>
          <w:szCs w:val="20"/>
          <w:lang w:val="en"/>
        </w:rPr>
      </w:pPr>
      <w:r w:rsidRPr="009027DF">
        <w:rPr>
          <w:rFonts w:ascii="Arial" w:eastAsia="Times New Roman" w:hAnsi="Arial" w:cs="Arial"/>
          <w:color w:val="444444"/>
          <w:sz w:val="20"/>
          <w:szCs w:val="20"/>
          <w:lang w:val="en"/>
        </w:rPr>
        <w:t>lobbying costs</w:t>
      </w:r>
    </w:p>
    <w:p w:rsidR="009027DF" w:rsidRPr="009027DF" w:rsidRDefault="009027DF" w:rsidP="009027DF">
      <w:pPr>
        <w:pStyle w:val="ListParagraph"/>
        <w:numPr>
          <w:ilvl w:val="0"/>
          <w:numId w:val="10"/>
        </w:numPr>
        <w:rPr>
          <w:rFonts w:ascii="Arial" w:eastAsia="Times New Roman" w:hAnsi="Arial" w:cs="Arial"/>
          <w:color w:val="444444"/>
          <w:sz w:val="20"/>
          <w:szCs w:val="20"/>
          <w:lang w:val="en"/>
        </w:rPr>
      </w:pPr>
      <w:r w:rsidRPr="009027DF">
        <w:rPr>
          <w:rFonts w:ascii="Arial" w:eastAsia="Times New Roman" w:hAnsi="Arial" w:cs="Arial"/>
          <w:color w:val="444444"/>
          <w:sz w:val="20"/>
          <w:szCs w:val="20"/>
          <w:lang w:val="en"/>
        </w:rPr>
        <w:t>malpractice insurance that does not involve human subjects</w:t>
      </w:r>
    </w:p>
    <w:p w:rsidR="009027DF" w:rsidRPr="009027DF" w:rsidRDefault="009027DF" w:rsidP="009027DF">
      <w:pPr>
        <w:pStyle w:val="ListParagraph"/>
        <w:numPr>
          <w:ilvl w:val="0"/>
          <w:numId w:val="10"/>
        </w:numPr>
        <w:rPr>
          <w:rFonts w:ascii="Arial" w:eastAsia="Times New Roman" w:hAnsi="Arial" w:cs="Arial"/>
          <w:color w:val="444444"/>
          <w:sz w:val="20"/>
          <w:szCs w:val="20"/>
          <w:lang w:val="en"/>
        </w:rPr>
      </w:pPr>
      <w:r w:rsidRPr="009027DF">
        <w:rPr>
          <w:rFonts w:ascii="Arial" w:eastAsia="Times New Roman" w:hAnsi="Arial" w:cs="Arial"/>
          <w:color w:val="444444"/>
          <w:sz w:val="20"/>
          <w:szCs w:val="20"/>
          <w:lang w:val="en"/>
        </w:rPr>
        <w:t>membership in any civic or community organization, country club, social or dining club</w:t>
      </w:r>
    </w:p>
    <w:p w:rsidR="009027DF" w:rsidRPr="009027DF" w:rsidRDefault="009027DF" w:rsidP="009027DF">
      <w:pPr>
        <w:pStyle w:val="ListParagraph"/>
        <w:numPr>
          <w:ilvl w:val="0"/>
          <w:numId w:val="10"/>
        </w:numPr>
        <w:rPr>
          <w:rFonts w:ascii="Arial" w:eastAsia="Times New Roman" w:hAnsi="Arial" w:cs="Arial"/>
          <w:color w:val="444444"/>
          <w:sz w:val="20"/>
          <w:szCs w:val="20"/>
          <w:lang w:val="en"/>
        </w:rPr>
      </w:pPr>
      <w:r w:rsidRPr="009027DF">
        <w:rPr>
          <w:rFonts w:ascii="Arial" w:eastAsia="Times New Roman" w:hAnsi="Arial" w:cs="Arial"/>
          <w:color w:val="444444"/>
          <w:sz w:val="20"/>
          <w:szCs w:val="20"/>
          <w:lang w:val="en"/>
        </w:rPr>
        <w:t>public relations costs</w:t>
      </w:r>
    </w:p>
    <w:p w:rsidR="009027DF" w:rsidRPr="009027DF" w:rsidRDefault="009027DF" w:rsidP="009027DF">
      <w:pPr>
        <w:pStyle w:val="ListParagraph"/>
        <w:numPr>
          <w:ilvl w:val="0"/>
          <w:numId w:val="10"/>
        </w:numPr>
        <w:rPr>
          <w:rFonts w:ascii="Arial" w:eastAsia="Times New Roman" w:hAnsi="Arial" w:cs="Arial"/>
          <w:color w:val="444444"/>
          <w:sz w:val="20"/>
          <w:szCs w:val="20"/>
          <w:lang w:val="en"/>
        </w:rPr>
      </w:pPr>
      <w:r w:rsidRPr="009027DF">
        <w:rPr>
          <w:rFonts w:ascii="Arial" w:eastAsia="Times New Roman" w:hAnsi="Arial" w:cs="Arial"/>
          <w:color w:val="444444"/>
          <w:sz w:val="20"/>
          <w:szCs w:val="20"/>
          <w:lang w:val="en"/>
        </w:rPr>
        <w:t>selling and marketing costs</w:t>
      </w:r>
    </w:p>
    <w:p w:rsidR="009027DF" w:rsidRPr="009027DF" w:rsidRDefault="009027DF" w:rsidP="009027DF">
      <w:pPr>
        <w:pStyle w:val="ListParagraph"/>
        <w:numPr>
          <w:ilvl w:val="0"/>
          <w:numId w:val="10"/>
        </w:numPr>
        <w:rPr>
          <w:rFonts w:ascii="Arial" w:eastAsia="Times New Roman" w:hAnsi="Arial" w:cs="Arial"/>
          <w:color w:val="444444"/>
          <w:sz w:val="20"/>
          <w:szCs w:val="20"/>
          <w:lang w:val="en"/>
        </w:rPr>
      </w:pPr>
      <w:r w:rsidRPr="009027DF">
        <w:rPr>
          <w:rFonts w:ascii="Arial" w:eastAsia="Times New Roman" w:hAnsi="Arial" w:cs="Arial"/>
          <w:color w:val="444444"/>
          <w:sz w:val="20"/>
          <w:szCs w:val="20"/>
          <w:lang w:val="en"/>
        </w:rPr>
        <w:t>student activity costs</w:t>
      </w:r>
    </w:p>
    <w:p w:rsidR="0095047D" w:rsidRPr="009027DF" w:rsidRDefault="009027DF" w:rsidP="009027DF">
      <w:pPr>
        <w:pStyle w:val="ListParagraph"/>
        <w:numPr>
          <w:ilvl w:val="0"/>
          <w:numId w:val="10"/>
        </w:numPr>
        <w:rPr>
          <w:rFonts w:ascii="Arial" w:eastAsia="Times New Roman" w:hAnsi="Arial" w:cs="Arial"/>
          <w:color w:val="444444"/>
          <w:sz w:val="20"/>
          <w:szCs w:val="20"/>
          <w:lang w:val="en"/>
        </w:rPr>
      </w:pPr>
      <w:r w:rsidRPr="009027DF">
        <w:rPr>
          <w:rFonts w:ascii="Arial" w:eastAsia="Times New Roman" w:hAnsi="Arial" w:cs="Arial"/>
          <w:color w:val="444444"/>
          <w:sz w:val="20"/>
          <w:szCs w:val="20"/>
          <w:lang w:val="en"/>
        </w:rPr>
        <w:t>travel/subsistence costs of trustees</w:t>
      </w:r>
    </w:p>
    <w:sectPr w:rsidR="0095047D" w:rsidRPr="00902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fshand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94D41"/>
    <w:multiLevelType w:val="multilevel"/>
    <w:tmpl w:val="DE00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27BDA"/>
    <w:multiLevelType w:val="multilevel"/>
    <w:tmpl w:val="39AC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B57DEE"/>
    <w:multiLevelType w:val="hybridMultilevel"/>
    <w:tmpl w:val="BC524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402B7A"/>
    <w:multiLevelType w:val="multilevel"/>
    <w:tmpl w:val="3F18E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D162EA"/>
    <w:multiLevelType w:val="multilevel"/>
    <w:tmpl w:val="F8AA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AB7B8E"/>
    <w:multiLevelType w:val="hybridMultilevel"/>
    <w:tmpl w:val="88AE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0A3B86"/>
    <w:multiLevelType w:val="multilevel"/>
    <w:tmpl w:val="A2B818FC"/>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7" w15:restartNumberingAfterBreak="0">
    <w:nsid w:val="66175BC8"/>
    <w:multiLevelType w:val="multilevel"/>
    <w:tmpl w:val="BEF6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8313BC"/>
    <w:multiLevelType w:val="hybridMultilevel"/>
    <w:tmpl w:val="739C8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D894B07"/>
    <w:multiLevelType w:val="multilevel"/>
    <w:tmpl w:val="2C52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0"/>
  </w:num>
  <w:num w:numId="4">
    <w:abstractNumId w:val="1"/>
  </w:num>
  <w:num w:numId="5">
    <w:abstractNumId w:val="7"/>
  </w:num>
  <w:num w:numId="6">
    <w:abstractNumId w:val="4"/>
  </w:num>
  <w:num w:numId="7">
    <w:abstractNumId w:val="3"/>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575"/>
    <w:rsid w:val="00032FD9"/>
    <w:rsid w:val="00497B9C"/>
    <w:rsid w:val="00506575"/>
    <w:rsid w:val="009027DF"/>
    <w:rsid w:val="00EF53CE"/>
    <w:rsid w:val="00FB5FC2"/>
    <w:rsid w:val="00FF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644C0-02BF-49BD-9109-7002995E2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946363">
      <w:bodyDiv w:val="1"/>
      <w:marLeft w:val="0"/>
      <w:marRight w:val="0"/>
      <w:marTop w:val="0"/>
      <w:marBottom w:val="0"/>
      <w:divBdr>
        <w:top w:val="none" w:sz="0" w:space="0" w:color="auto"/>
        <w:left w:val="none" w:sz="0" w:space="0" w:color="auto"/>
        <w:bottom w:val="none" w:sz="0" w:space="0" w:color="auto"/>
        <w:right w:val="none" w:sz="0" w:space="0" w:color="auto"/>
      </w:divBdr>
      <w:divsChild>
        <w:div w:id="1797914789">
          <w:marLeft w:val="0"/>
          <w:marRight w:val="0"/>
          <w:marTop w:val="0"/>
          <w:marBottom w:val="0"/>
          <w:divBdr>
            <w:top w:val="none" w:sz="0" w:space="0" w:color="auto"/>
            <w:left w:val="none" w:sz="0" w:space="0" w:color="auto"/>
            <w:bottom w:val="none" w:sz="0" w:space="0" w:color="auto"/>
            <w:right w:val="none" w:sz="0" w:space="0" w:color="auto"/>
          </w:divBdr>
          <w:divsChild>
            <w:div w:id="423772184">
              <w:marLeft w:val="0"/>
              <w:marRight w:val="0"/>
              <w:marTop w:val="0"/>
              <w:marBottom w:val="0"/>
              <w:divBdr>
                <w:top w:val="none" w:sz="0" w:space="0" w:color="auto"/>
                <w:left w:val="none" w:sz="0" w:space="0" w:color="auto"/>
                <w:bottom w:val="none" w:sz="0" w:space="0" w:color="auto"/>
                <w:right w:val="none" w:sz="0" w:space="0" w:color="auto"/>
              </w:divBdr>
              <w:divsChild>
                <w:div w:id="65414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Arkansas Pine Bluff</Company>
  <LinksUpToDate>false</LinksUpToDate>
  <CharactersWithSpaces>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J. Childs</dc:creator>
  <cp:keywords/>
  <dc:description/>
  <cp:lastModifiedBy>Adrian J. Childs</cp:lastModifiedBy>
  <cp:revision>3</cp:revision>
  <dcterms:created xsi:type="dcterms:W3CDTF">2016-09-20T13:46:00Z</dcterms:created>
  <dcterms:modified xsi:type="dcterms:W3CDTF">2016-09-20T14:20:00Z</dcterms:modified>
</cp:coreProperties>
</file>